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2851D64A" w:rsidR="00F372C9" w:rsidRPr="00B552DB" w:rsidRDefault="00A97EEC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A97EEC">
              <w:rPr>
                <w:rFonts w:ascii="Calibri Light" w:hAnsi="Calibri Light" w:cs="Calibri Light"/>
                <w:b/>
              </w:rPr>
              <w:t>Specializuotos duomenų analizės ir vizualizacijos programinės įrangos licencija (PPR-574)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773F1"/>
    <w:rsid w:val="00A831DB"/>
    <w:rsid w:val="00A90AB3"/>
    <w:rsid w:val="00A91815"/>
    <w:rsid w:val="00A9338B"/>
    <w:rsid w:val="00A97EEC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1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Aistė Aničaitė-Stabingienė</cp:lastModifiedBy>
  <cp:revision>3</cp:revision>
  <cp:lastPrinted>2021-01-19T12:06:00Z</cp:lastPrinted>
  <dcterms:created xsi:type="dcterms:W3CDTF">2025-06-26T13:14:00Z</dcterms:created>
  <dcterms:modified xsi:type="dcterms:W3CDTF">2025-06-26T13:25:00Z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